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611" w:rsidRDefault="00CC6611" w:rsidP="00CC6611">
      <w:pPr>
        <w:spacing w:line="480" w:lineRule="auto"/>
        <w:jc w:val="center"/>
      </w:pPr>
    </w:p>
    <w:p w:rsidR="006E7DAC" w:rsidRDefault="006E7DAC" w:rsidP="00CC6611">
      <w:pPr>
        <w:spacing w:line="480" w:lineRule="auto"/>
        <w:jc w:val="center"/>
      </w:pPr>
    </w:p>
    <w:p w:rsidR="006E7DAC" w:rsidRDefault="006E7DAC" w:rsidP="00CC6611">
      <w:pPr>
        <w:spacing w:line="480" w:lineRule="auto"/>
        <w:jc w:val="center"/>
      </w:pPr>
    </w:p>
    <w:p w:rsidR="00CC6611" w:rsidRDefault="00CC6611" w:rsidP="00CC6611">
      <w:pPr>
        <w:spacing w:line="480" w:lineRule="auto"/>
        <w:jc w:val="center"/>
      </w:pPr>
    </w:p>
    <w:p w:rsidR="00CC6611" w:rsidRDefault="00CC6611" w:rsidP="00CC6611">
      <w:pPr>
        <w:spacing w:line="480" w:lineRule="auto"/>
        <w:jc w:val="center"/>
      </w:pPr>
    </w:p>
    <w:p w:rsidR="006E7DAC" w:rsidRDefault="006E7DAC" w:rsidP="00CC6611">
      <w:pPr>
        <w:spacing w:line="480" w:lineRule="auto"/>
        <w:jc w:val="center"/>
      </w:pPr>
    </w:p>
    <w:p w:rsidR="00CC6611" w:rsidRDefault="00CC6611" w:rsidP="00CC6611">
      <w:pPr>
        <w:spacing w:line="480" w:lineRule="auto"/>
        <w:jc w:val="center"/>
      </w:pPr>
    </w:p>
    <w:p w:rsidR="00CC6611" w:rsidRDefault="00CC6611" w:rsidP="00CC6611">
      <w:pPr>
        <w:spacing w:line="480" w:lineRule="auto"/>
        <w:jc w:val="center"/>
      </w:pPr>
    </w:p>
    <w:p w:rsidR="00CC6611" w:rsidRDefault="006E7DAC" w:rsidP="00CC6611">
      <w:pPr>
        <w:spacing w:line="480" w:lineRule="auto"/>
        <w:jc w:val="center"/>
      </w:pPr>
      <w:r>
        <w:t>Question 3;</w:t>
      </w:r>
      <w:r w:rsidRPr="00CC6611">
        <w:t xml:space="preserve"> Music</w:t>
      </w:r>
      <w:r w:rsidR="007E4375" w:rsidRPr="00CC6611">
        <w:t xml:space="preserve"> as Art of Symbolic Resistance: Tango and Samba</w:t>
      </w:r>
      <w:r w:rsidR="00CC6611">
        <w:t>.</w:t>
      </w:r>
    </w:p>
    <w:p w:rsidR="00CC6611" w:rsidRDefault="00CC6611" w:rsidP="00CC6611">
      <w:pPr>
        <w:spacing w:line="480" w:lineRule="auto"/>
        <w:jc w:val="center"/>
      </w:pPr>
      <w:r>
        <w:t>Name.</w:t>
      </w:r>
    </w:p>
    <w:p w:rsidR="00CC6611" w:rsidRDefault="00CC6611" w:rsidP="00CC6611">
      <w:pPr>
        <w:spacing w:line="480" w:lineRule="auto"/>
        <w:jc w:val="center"/>
      </w:pPr>
      <w:r>
        <w:t>Institution.</w:t>
      </w:r>
    </w:p>
    <w:p w:rsidR="00CC6611" w:rsidRDefault="00CC6611" w:rsidP="00CC6611">
      <w:pPr>
        <w:spacing w:line="480" w:lineRule="auto"/>
        <w:jc w:val="center"/>
      </w:pPr>
      <w:r>
        <w:t>Date.</w:t>
      </w:r>
    </w:p>
    <w:p w:rsidR="00CC6611" w:rsidRDefault="00CC6611" w:rsidP="00CC6611">
      <w:pPr>
        <w:spacing w:line="480" w:lineRule="auto"/>
        <w:jc w:val="center"/>
      </w:pPr>
    </w:p>
    <w:p w:rsidR="00CC6611" w:rsidRDefault="00CC6611" w:rsidP="00CC6611">
      <w:pPr>
        <w:spacing w:line="480" w:lineRule="auto"/>
        <w:jc w:val="center"/>
      </w:pPr>
    </w:p>
    <w:p w:rsidR="00CC6611" w:rsidRDefault="00CC6611" w:rsidP="00CC6611">
      <w:pPr>
        <w:spacing w:line="480" w:lineRule="auto"/>
        <w:jc w:val="center"/>
      </w:pPr>
    </w:p>
    <w:p w:rsidR="00CC6611" w:rsidRDefault="00CC6611" w:rsidP="00CC6611">
      <w:pPr>
        <w:spacing w:line="480" w:lineRule="auto"/>
        <w:jc w:val="center"/>
      </w:pPr>
    </w:p>
    <w:p w:rsidR="006E7DAC" w:rsidRDefault="006E7DAC" w:rsidP="006E7DAC">
      <w:pPr>
        <w:spacing w:line="480" w:lineRule="auto"/>
      </w:pPr>
    </w:p>
    <w:p w:rsidR="00CC6611" w:rsidRPr="00CC6611" w:rsidRDefault="006E7DAC" w:rsidP="006E7DAC">
      <w:pPr>
        <w:spacing w:line="480" w:lineRule="auto"/>
        <w:jc w:val="center"/>
      </w:pPr>
      <w:r>
        <w:lastRenderedPageBreak/>
        <w:t xml:space="preserve">Question 3; </w:t>
      </w:r>
      <w:r w:rsidR="00CC6611" w:rsidRPr="00CC6611">
        <w:t>Music as Art of Symbolic Resistance: Tango and Samba</w:t>
      </w:r>
    </w:p>
    <w:p w:rsidR="003E376D" w:rsidRDefault="003E376D" w:rsidP="003E376D">
      <w:pPr>
        <w:spacing w:line="480" w:lineRule="auto"/>
        <w:ind w:firstLine="720"/>
      </w:pPr>
      <w:r>
        <w:t xml:space="preserve">Power is the main ideal in any argument revolving around resistance and domination (Turino, 2008). The people in power employ the coercive power at their disposal to shape the powerless to further their own goals. On the other hand, helpless people have to find a way to fight for their rights. Usually, powerlessness and silence are complementary. Therefore, the powerless have to form unique ways to resist repressions. Therefore, the confrontations between the dominant and the powerless are loaded with deception. The powerful tend to emphasize their masterly while the powerless tend to fake compliance (Turino, 2008). In the pre-colonial era, when the immigration rate and the slave trade were rampant; laborers, untouchables, peasants, slaves, prisoners, and serfs did not have a representative of power. Therefore, the oppressed groups had to formulate secret discourses to fight repression or communicate their sentiments. </w:t>
      </w:r>
    </w:p>
    <w:p w:rsidR="003E376D" w:rsidRDefault="003E376D" w:rsidP="003E376D">
      <w:pPr>
        <w:spacing w:line="480" w:lineRule="auto"/>
        <w:ind w:firstLine="720"/>
      </w:pPr>
      <w:r>
        <w:t>From ancient time, Latin American nations have been known for their preference in folkloric arts and culture. During that era of massive social injustices, most nations that were undergoing such problems found dances and music as integral tools to communicate and resist social oppression from the ruling regimes. To understand the political significance of music and carnival, this paper examines the role of samba and tango in Brazil and Argentina respectively. The goal of the paper will be achieved by comparing and contrasting the role of tango and samba in the representation of symbolic resistance in the two countries.</w:t>
      </w:r>
    </w:p>
    <w:p w:rsidR="003E376D" w:rsidRDefault="003E376D" w:rsidP="003E376D">
      <w:pPr>
        <w:spacing w:line="480" w:lineRule="auto"/>
        <w:ind w:firstLine="720"/>
      </w:pPr>
      <w:r>
        <w:t xml:space="preserve">Brazil and Argentina have utilized their national self-proclaimed music and dances, samba and tango to create a cohesive and peaceful nation (Turino, 2008). However, initially, both the self-proclaimed dances and music were not national icons. There is a history beneath the </w:t>
      </w:r>
      <w:r>
        <w:lastRenderedPageBreak/>
        <w:t>growth of the now national icon dances. Both nations, at a point in history, were struck by a period of repression and the two famous dances were used as the symbols of resistance.</w:t>
      </w:r>
    </w:p>
    <w:p w:rsidR="003E376D" w:rsidRDefault="003E376D" w:rsidP="003E376D">
      <w:pPr>
        <w:spacing w:line="480" w:lineRule="auto"/>
        <w:ind w:firstLine="720"/>
      </w:pPr>
      <w:r>
        <w:t>Tango</w:t>
      </w:r>
    </w:p>
    <w:p w:rsidR="003E376D" w:rsidRDefault="003E376D" w:rsidP="003E376D">
      <w:pPr>
        <w:spacing w:line="480" w:lineRule="auto"/>
        <w:ind w:firstLine="720"/>
      </w:pPr>
      <w:r>
        <w:t>Tango first appeared in Argentina in 1880 (Aldo, 2009). The dance integrated musical elements and styles from Africa. Despite little evidence showing the exact African location of the styles from which tango is said to have evolved, it is adequate to confirm that the tango culture is deeply rooted in the culture of West Africa. However, there is available evidence that shows that despite most of the Argentinean tango moves originating from West Africa, the tango is formed through the amalgamation of many cultural practices from around the globe. Generally, tango was the outcome of immigration flux in Argentina. In the 1850s, the group of elites who ruled Argentina formulated a policy of change. The policy hand the phrase, to govern is to populate (Viladrich, 2010). The policy encourages massive immigration, making Argentina the second country in entire America to record the highest immigration rate from mid 19th century to the beginning of the 20th century. The majority of the foreigners did not fit nicely to the incumbent elite rulers. However, it was the mix of this entire people from diverse cultures that gave tango its complexity and unique flavor.</w:t>
      </w:r>
    </w:p>
    <w:p w:rsidR="003E376D" w:rsidRDefault="003E376D" w:rsidP="003E376D">
      <w:pPr>
        <w:spacing w:line="480" w:lineRule="auto"/>
        <w:ind w:firstLine="720"/>
      </w:pPr>
      <w:r>
        <w:t xml:space="preserve">Tango started during this era of immense urban migration, both from abroad and within the nation. Initially, tango reflected certain degree of sexuality. However, as conditions in regard to repression around the major cities of Argentina such as Buenos Aires deteriorated, tango was used to express social oppression (Viladrich, 2010). In performing tango to express resistance, performers executed bitter undertones, lyrical stress on poor working conditions, hunger and poverty, and also exhibited solitary nature. Through such a representation, tango echoed the </w:t>
      </w:r>
      <w:r>
        <w:lastRenderedPageBreak/>
        <w:t>emotions and grievances of the people who worked in inhumane conditions in Buenos Aires. Generally, tango portrayed the dark side of development in the nation. The performers portrayed prostitution, misery and the overwhelming rate of unemployment.</w:t>
      </w:r>
    </w:p>
    <w:p w:rsidR="003E376D" w:rsidRDefault="003E376D" w:rsidP="003E376D">
      <w:pPr>
        <w:spacing w:line="480" w:lineRule="auto"/>
        <w:ind w:firstLine="720"/>
      </w:pPr>
      <w:r>
        <w:t xml:space="preserve">Shockingly, the only place where people could perform tango freely was in the brothels of Buenos Aires. During that time, the brothel was the only aspect of protection for a new musical genre emerging from poor immigrant people. However, the protection did not stay long because to some extent, and it represented promiscuity and sexuality (Viladrich, 2010). Due to lasciviousness and sexuality, the incumbent rulers termed it as an epitome of degradation (Viladrich, 2010). Therefore, it was relegated to the margins of the society from where it was developed. </w:t>
      </w:r>
    </w:p>
    <w:p w:rsidR="003E376D" w:rsidRDefault="003E376D" w:rsidP="003E376D">
      <w:pPr>
        <w:spacing w:line="480" w:lineRule="auto"/>
        <w:ind w:firstLine="720"/>
      </w:pPr>
      <w:r>
        <w:t xml:space="preserve">At the beginning of the 20th century, tango gained popularity in different parts of the world. In the early 1910s, most European nations such as Britain, Germany, France, and Italy borrowed tango but referred to it as Tango-mania (Aldo, 2009). The introduction of tango in European nations was met with great interest and hence becoming a Parisian phenomenon. The European Nations ensured tango maintained its exotic image by adopting the Argentine stereotypes (Taylor, 2014). </w:t>
      </w:r>
    </w:p>
    <w:p w:rsidR="003E376D" w:rsidRDefault="003E376D" w:rsidP="003E376D">
      <w:pPr>
        <w:spacing w:line="480" w:lineRule="auto"/>
        <w:ind w:firstLine="720"/>
      </w:pPr>
      <w:r>
        <w:t xml:space="preserve">The acceptance of tango in European Countries compelled the elites in Argentina to accept tango which was initially relegated to people of low social class and sex workers. The performers, thus, continued performing musing and including grievances in regard to poor working conditions in Buenos Aires and the ever-growing levels of unemployment. However, after Peron took over as president, he initiated major alterations on tango music and restrictions to media. Peron wanted the artistic genre which had become a significant favorite both nationally </w:t>
      </w:r>
      <w:r>
        <w:lastRenderedPageBreak/>
        <w:t>and internationally to fit his own interests. Mostly, the tango focused on an individual, and Peron was not ready to become a center of criticism. The solitary nature of tango was fixed with the lyrical emphasis of hunger, racism, poverty, and unemployment. Peron altered the tango by axing the lyrical emphasis and instead supporting the development of tango as a dance</w:t>
      </w:r>
    </w:p>
    <w:p w:rsidR="003E376D" w:rsidRDefault="003E376D" w:rsidP="003E376D">
      <w:pPr>
        <w:spacing w:line="480" w:lineRule="auto"/>
        <w:ind w:firstLine="720"/>
      </w:pPr>
      <w:r>
        <w:t>Samba</w:t>
      </w:r>
    </w:p>
    <w:p w:rsidR="003E376D" w:rsidRDefault="003E376D" w:rsidP="003E376D">
      <w:pPr>
        <w:spacing w:line="480" w:lineRule="auto"/>
        <w:ind w:firstLine="720"/>
      </w:pPr>
      <w:r>
        <w:t>The Brazilian samba emerged approximately 30 years after the formation of Argentine tango. To a larger extent, the configuration of samba was analogous to that of tango. From ancient times to the contemporary period, samba has been depicted as the central form of music. During the Vargas regime era, despite being considered as an essential part of Brazilian musical, samba was recognized as an integral part of national identity. In one occasion, a radio presenter asserted that Brazil is Samba. At the beginning of the 20th century, samba was taken as the most in style music in Rio de Janeiro which acted as a hub for cross-culture. During this time, people preference for samba had displaced other musical forms such as choro and maxixe (Williams, 2011). But where did the samba originate from? The answer to the origination samba lays on the history of the slave trade which was massive during the 17th to 19th centuries. It is at this time when the Portuguese who had invaded Brazil ventured in the slave trade to acquire greater labor force.</w:t>
      </w:r>
    </w:p>
    <w:p w:rsidR="003E376D" w:rsidRDefault="003E376D" w:rsidP="003E376D">
      <w:pPr>
        <w:spacing w:line="480" w:lineRule="auto"/>
        <w:ind w:firstLine="720"/>
      </w:pPr>
      <w:r>
        <w:t xml:space="preserve">After slavery was abolished in Brazil in 1888, the Brazilian government destroyed all the evidence of slave trafficking with the aim of making the victims forget about the past (Taylor, 2014). The evidence destruction hindered the possibility of tracking the origin of African slaves who introduced samba culture. The available information has it that there were over 4 million of Africans who were shipped to Brazil. It is said that the slaves were taken in four cycles from four </w:t>
      </w:r>
      <w:r>
        <w:lastRenderedPageBreak/>
        <w:t>different locations. The Afro-Brazilian culture was formed from these four cycles. Languages, stories, songs, rhythms and stories varied from the four cycles but shared many similarities in common. Similarities in religious conceptions, aesthetics, myths, musical traits, and folktales enhanced the transformation of diverse African cultures to a single Afro-Brazilian culture.</w:t>
      </w:r>
    </w:p>
    <w:p w:rsidR="003E376D" w:rsidRDefault="003E376D" w:rsidP="003E376D">
      <w:pPr>
        <w:spacing w:line="480" w:lineRule="auto"/>
        <w:ind w:firstLine="720"/>
      </w:pPr>
      <w:r>
        <w:t>During the era of samba emergence, the Brazilians from Portuguese ancestry treated black Brazilians with much racism making the blacks to feel as inferiors. This rampant racism coupled with escalating rates of unemployment as well as poor living conditions compelled the Afro-Brazilian to articulate samba music and styles, to echo their sentiments and misery (Williams, 2011). The Afro-Brazilians were certain that the re-organized samba would be effective in communicating their woes because it had already become the national taste. However, analogous to the Argentine tango, samba was faced with fierce rejection by the existing rulers. However, societal rejection did little to end the Afro-Brazilians performance of samba. In fact, the rejection was integral in intensifying the Afro-Brazilians efforts to frequently practice samba in Rio de Janeiro, a city that was considered as the birthplace of samba.</w:t>
      </w:r>
    </w:p>
    <w:p w:rsidR="003E376D" w:rsidRDefault="003E376D" w:rsidP="003E376D">
      <w:pPr>
        <w:spacing w:line="480" w:lineRule="auto"/>
        <w:ind w:firstLine="720"/>
      </w:pPr>
      <w:r>
        <w:t>Like the tango, samba was appropriated and accepted in the European Nations. France and Italy, in particular, found samba as a new form of exoticism. Therefore, in the late years of the 20th century, most European countries embraced this exciting dance style opening its door to acceptance and popularity. Global recognition of samba forced the ruling elites to accept it. The national attention of samba is referred to as ‘validation through visibility' (Williams, 2011). This is because Samba was accepted nationally because of foreign appropriation.</w:t>
      </w:r>
    </w:p>
    <w:p w:rsidR="003E376D" w:rsidRDefault="003E376D" w:rsidP="003E376D">
      <w:pPr>
        <w:spacing w:line="480" w:lineRule="auto"/>
        <w:ind w:firstLine="720"/>
      </w:pPr>
      <w:r>
        <w:t xml:space="preserve">After Vargas became the president in 1930, he ordered alterations of samba in order to suit his interests.  It was altered through the department of press and propaganda by censoring </w:t>
      </w:r>
      <w:r>
        <w:lastRenderedPageBreak/>
        <w:t>the contents and lyrics of samba that were broadcasted through the radio hence affecting the ability of the samba to represent the powerless individuals (Williams, 2011). However, in 1970, the real samba re-emerged, and emerging musicians crafted songs to suit the need of the society.</w:t>
      </w:r>
    </w:p>
    <w:p w:rsidR="003E376D" w:rsidRDefault="003E376D" w:rsidP="003E376D">
      <w:pPr>
        <w:spacing w:line="480" w:lineRule="auto"/>
        <w:ind w:firstLine="720"/>
      </w:pPr>
      <w:r>
        <w:t>Comparison between tango and samba</w:t>
      </w:r>
    </w:p>
    <w:p w:rsidR="003E376D" w:rsidRDefault="003E376D" w:rsidP="003E376D">
      <w:pPr>
        <w:spacing w:line="480" w:lineRule="auto"/>
        <w:ind w:firstLine="720"/>
      </w:pPr>
      <w:r>
        <w:t>Despite the fact that tango and samba are of different countries, they share various aspects in common. Firstly, the origin of both genres is associated mainly with Africa. In addition, both mixtures of the genre include some cultural elements from the European world. Moreover, the formation of the genres included a group of people from low classes. Another similarity is that for both the music genres to be accepted in their respective parent nations, the genres had to be embraced abroad by the modernized countries in Europe. Also, Peron and Vargas, by then the presidents of Argentina and Brazil respectively, altered the integrity of tango and samba to suit their own goals.</w:t>
      </w:r>
    </w:p>
    <w:p w:rsidR="003E376D" w:rsidRDefault="003E376D" w:rsidP="003E376D">
      <w:pPr>
        <w:spacing w:line="480" w:lineRule="auto"/>
        <w:ind w:firstLine="720"/>
      </w:pPr>
      <w:r>
        <w:t xml:space="preserve"> Moreover, in the modern day, both genres have progressed to become the national symbols. The only difference between tango and samba, apart from being of different nations, is that they have different characteristics. Concerning tempo, tango is more nostalgic, solemn and slower in speed. On the other hand, samba is more lively, upbeat and quick. In addition, Samba has no general lyrical theme as compared to tango which has a specific emotional theme (Taylor, 2014).</w:t>
      </w:r>
    </w:p>
    <w:p w:rsidR="003E376D" w:rsidRDefault="003E376D" w:rsidP="003E376D">
      <w:pPr>
        <w:spacing w:line="480" w:lineRule="auto"/>
        <w:ind w:firstLine="720"/>
      </w:pPr>
      <w:r>
        <w:t>Moreover, in the initial period of emergence, tango was more of masculine music, implying that only men were involved. On the other hand, samba included men and women in the dance. Finally, samba entailed mostly dances while tango encompassed both music and dances.</w:t>
      </w:r>
    </w:p>
    <w:p w:rsidR="003E376D" w:rsidRDefault="003E376D" w:rsidP="003E376D">
      <w:pPr>
        <w:spacing w:line="480" w:lineRule="auto"/>
        <w:ind w:firstLine="720"/>
      </w:pPr>
      <w:r>
        <w:lastRenderedPageBreak/>
        <w:t>Accordingly, both tango and samba managed to echo the society's needs and therefore had real impacts. Considering the state of Brazil before the abolishment of the slave trade, rampant racism, and powerless people were living in the slums of Rio de Janeiro were living in poor conditions and were living in slavery. After the crafting of samba and then articulating the moves and lyrics to echo their sentiments, slavery was abolished by the then government. Also, in the Vargas regime, after the modernized European Nations embraced the samba genre, Brazil accepted samba despite altering it later. In the 1960s, however, the society was able to rejuvenate samba to its originality (Aldo, 2009). By then, many Afro-Brazilians were not facing fierce racism compared to the earlier times.</w:t>
      </w:r>
    </w:p>
    <w:p w:rsidR="003E376D" w:rsidRDefault="003E376D" w:rsidP="003E376D">
      <w:pPr>
        <w:spacing w:line="480" w:lineRule="auto"/>
        <w:ind w:firstLine="720"/>
      </w:pPr>
      <w:r>
        <w:t>On the other hand, tango had managed to make a real impact. The lyrical emphasis of tango was about poverty, hunger and living in adverse conditions in the slums of Buenos Aires. Despite, Peron altering the lyrical focus of tango, the tango had managed to coerce the elite rulers to make more development to people (Taylor, 2014). In the modern day, both Samba and tango have become national icons, and the role of their representation of society sentiments cannot be overlooked</w:t>
      </w:r>
    </w:p>
    <w:p w:rsidR="003E376D" w:rsidRDefault="003E376D" w:rsidP="003E376D">
      <w:pPr>
        <w:spacing w:line="480" w:lineRule="auto"/>
        <w:ind w:firstLine="720"/>
      </w:pPr>
      <w:r>
        <w:t>In conclusion, by adopting tango and samba in performances, the vulnerable people experiencing injustices had found the appropriate tools to show their state of discomfort. Both styles of music were formed by the marginalized groups of people in the respective nations. The music genres faced up and downs, they were once relegated in both countries because of their place of origin. However, due to foreign nation appropriating and accepting both music genres, the leaders in the respective nation had to embrace them and accept them as national icons (Taylor, 2014).</w:t>
      </w:r>
    </w:p>
    <w:p w:rsidR="00CC6611" w:rsidRDefault="00CC6611" w:rsidP="00CC6611">
      <w:pPr>
        <w:spacing w:line="480" w:lineRule="auto"/>
        <w:jc w:val="center"/>
      </w:pPr>
      <w:r>
        <w:lastRenderedPageBreak/>
        <w:t>References</w:t>
      </w:r>
    </w:p>
    <w:p w:rsidR="00CC6611" w:rsidRDefault="009E73E8" w:rsidP="00CC6611">
      <w:pPr>
        <w:spacing w:line="480" w:lineRule="auto"/>
        <w:ind w:left="720" w:hanging="720"/>
      </w:pPr>
      <w:r>
        <w:fldChar w:fldCharType="begin"/>
      </w:r>
      <w:r w:rsidR="00CC6611">
        <w:instrText xml:space="preserve"> BIBLIOGRAPHY  \l 1033 </w:instrText>
      </w:r>
      <w:r>
        <w:fldChar w:fldCharType="separate"/>
      </w:r>
      <w:r w:rsidR="00CC6611">
        <w:rPr>
          <w:noProof/>
        </w:rPr>
        <w:t>Aldo, C. (2009).</w:t>
      </w:r>
      <w:r w:rsidR="003E376D">
        <w:rPr>
          <w:noProof/>
        </w:rPr>
        <w:t xml:space="preserve"> 'Argentina' politics of Latin A</w:t>
      </w:r>
      <w:r w:rsidR="00CC6611">
        <w:rPr>
          <w:noProof/>
        </w:rPr>
        <w:t xml:space="preserve">merica- The Power game. </w:t>
      </w:r>
      <w:r w:rsidR="00CC6611">
        <w:rPr>
          <w:i/>
          <w:iCs/>
          <w:noProof/>
        </w:rPr>
        <w:t>Cultural Anthropology</w:t>
      </w:r>
      <w:r w:rsidR="00CC6611">
        <w:rPr>
          <w:noProof/>
        </w:rPr>
        <w:t xml:space="preserve"> , 7-18.</w:t>
      </w:r>
    </w:p>
    <w:p w:rsidR="00CC6611" w:rsidRDefault="00CC6611" w:rsidP="00CC6611">
      <w:pPr>
        <w:pStyle w:val="Bibliography"/>
        <w:spacing w:line="480" w:lineRule="auto"/>
        <w:ind w:left="720" w:hanging="720"/>
        <w:rPr>
          <w:noProof/>
        </w:rPr>
      </w:pPr>
      <w:r>
        <w:rPr>
          <w:noProof/>
        </w:rPr>
        <w:t xml:space="preserve">Taylor, K. (2014). Tango: Theme of Class and Nation. </w:t>
      </w:r>
      <w:r>
        <w:rPr>
          <w:i/>
          <w:iCs/>
          <w:noProof/>
        </w:rPr>
        <w:t>Ethnomusicology</w:t>
      </w:r>
      <w:r>
        <w:rPr>
          <w:noProof/>
        </w:rPr>
        <w:t xml:space="preserve"> , 481-493.</w:t>
      </w:r>
    </w:p>
    <w:p w:rsidR="00CC6611" w:rsidRDefault="00CC6611" w:rsidP="00CC6611">
      <w:pPr>
        <w:pStyle w:val="Bibliography"/>
        <w:spacing w:line="480" w:lineRule="auto"/>
        <w:ind w:left="720" w:hanging="720"/>
        <w:rPr>
          <w:noProof/>
        </w:rPr>
      </w:pPr>
      <w:r>
        <w:rPr>
          <w:noProof/>
        </w:rPr>
        <w:t xml:space="preserve">Turino, T. (2008). Nationalism and Latin American Music . </w:t>
      </w:r>
      <w:r>
        <w:rPr>
          <w:i/>
          <w:iCs/>
          <w:noProof/>
        </w:rPr>
        <w:t>ProjectMuse</w:t>
      </w:r>
      <w:r>
        <w:rPr>
          <w:noProof/>
        </w:rPr>
        <w:t xml:space="preserve"> , 169-209.</w:t>
      </w:r>
    </w:p>
    <w:p w:rsidR="00CC6611" w:rsidRDefault="00CC6611" w:rsidP="00CC6611">
      <w:pPr>
        <w:pStyle w:val="Bibliography"/>
        <w:spacing w:line="480" w:lineRule="auto"/>
        <w:ind w:left="720" w:hanging="720"/>
        <w:rPr>
          <w:noProof/>
        </w:rPr>
      </w:pPr>
      <w:r>
        <w:rPr>
          <w:noProof/>
        </w:rPr>
        <w:t xml:space="preserve">Viladrich, A. (2010). Neither Virgins nor Whores: Tango lyrics and gender representations. </w:t>
      </w:r>
      <w:r>
        <w:rPr>
          <w:i/>
          <w:iCs/>
          <w:noProof/>
        </w:rPr>
        <w:t>The Journal of Popular culture</w:t>
      </w:r>
      <w:r>
        <w:rPr>
          <w:noProof/>
        </w:rPr>
        <w:t xml:space="preserve"> , 272-293.</w:t>
      </w:r>
    </w:p>
    <w:p w:rsidR="00CC6611" w:rsidRDefault="00CC6611" w:rsidP="00CC6611">
      <w:pPr>
        <w:pStyle w:val="Bibliography"/>
        <w:spacing w:line="480" w:lineRule="auto"/>
        <w:ind w:left="720" w:hanging="720"/>
        <w:rPr>
          <w:noProof/>
        </w:rPr>
      </w:pPr>
      <w:r>
        <w:rPr>
          <w:noProof/>
        </w:rPr>
        <w:t xml:space="preserve">Williams, D. (2011). Cultural wars in Brazil: the first Vargas regime 1930-1945. </w:t>
      </w:r>
      <w:r>
        <w:rPr>
          <w:i/>
          <w:iCs/>
          <w:noProof/>
        </w:rPr>
        <w:t>Durham</w:t>
      </w:r>
      <w:r>
        <w:rPr>
          <w:noProof/>
        </w:rPr>
        <w:t xml:space="preserve"> , 93-98.</w:t>
      </w:r>
    </w:p>
    <w:p w:rsidR="00CC6611" w:rsidRDefault="009E73E8" w:rsidP="00CC6611">
      <w:pPr>
        <w:spacing w:line="480" w:lineRule="auto"/>
        <w:ind w:left="720" w:hanging="720"/>
      </w:pPr>
      <w:r>
        <w:fldChar w:fldCharType="end"/>
      </w:r>
    </w:p>
    <w:p w:rsidR="00CC6611" w:rsidRDefault="00CC6611" w:rsidP="00CC6611">
      <w:pPr>
        <w:spacing w:line="480" w:lineRule="auto"/>
      </w:pPr>
    </w:p>
    <w:sectPr w:rsidR="00CC6611" w:rsidSect="007E43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3DD" w:rsidRDefault="003873DD" w:rsidP="007E4375">
      <w:pPr>
        <w:spacing w:after="0" w:line="240" w:lineRule="auto"/>
      </w:pPr>
      <w:r>
        <w:separator/>
      </w:r>
    </w:p>
  </w:endnote>
  <w:endnote w:type="continuationSeparator" w:id="1">
    <w:p w:rsidR="003873DD" w:rsidRDefault="003873DD" w:rsidP="007E43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3DD" w:rsidRDefault="003873DD" w:rsidP="007E4375">
      <w:pPr>
        <w:spacing w:after="0" w:line="240" w:lineRule="auto"/>
      </w:pPr>
      <w:r>
        <w:separator/>
      </w:r>
    </w:p>
  </w:footnote>
  <w:footnote w:type="continuationSeparator" w:id="1">
    <w:p w:rsidR="003873DD" w:rsidRDefault="003873DD" w:rsidP="007E43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75" w:rsidRDefault="006E7DAC" w:rsidP="006E7DAC">
    <w:pPr>
      <w:pStyle w:val="Header"/>
    </w:pPr>
    <w:r>
      <w:t xml:space="preserve">QUESTION 3; </w:t>
    </w:r>
    <w:r w:rsidR="007E4375">
      <w:t>MUSIC AS AN ART OF SYMBOLIC R</w:t>
    </w:r>
    <w:r>
      <w:t xml:space="preserve">ESISTANCE                                         </w:t>
    </w:r>
    <w:fldSimple w:instr=" PAGE   \* MERGEFORMAT ">
      <w:r w:rsidR="003E376D">
        <w:rPr>
          <w:noProof/>
        </w:rPr>
        <w:t>2</w:t>
      </w:r>
    </w:fldSimple>
    <w:r>
      <w:t xml:space="preserve">               </w:t>
    </w:r>
    <w:r w:rsidR="007E4375">
      <w:t xml:space="preserve">                                           </w:t>
    </w:r>
  </w:p>
  <w:p w:rsidR="007E4375" w:rsidRDefault="007E437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375" w:rsidRDefault="007E4375" w:rsidP="006E7DAC">
    <w:pPr>
      <w:pStyle w:val="Header"/>
    </w:pPr>
    <w:r>
      <w:t xml:space="preserve">Running head: </w:t>
    </w:r>
    <w:r w:rsidR="006E7DAC">
      <w:t xml:space="preserve">QUESTION 3; </w:t>
    </w:r>
    <w:r>
      <w:t>MUSIC AS AN ART OF SYMBOLIC RE</w:t>
    </w:r>
    <w:r w:rsidR="006E7DAC">
      <w:t xml:space="preserve">SISTANCE </w:t>
    </w:r>
    <w:r>
      <w:t xml:space="preserve"> </w:t>
    </w:r>
    <w:r w:rsidR="006E7DAC">
      <w:t xml:space="preserve">              </w:t>
    </w:r>
    <w:fldSimple w:instr=" PAGE   \* MERGEFORMAT ">
      <w:r w:rsidR="003E376D">
        <w:rPr>
          <w:noProof/>
        </w:rPr>
        <w:t>1</w:t>
      </w:r>
    </w:fldSimple>
    <w:r>
      <w:t xml:space="preserve">                </w:t>
    </w:r>
  </w:p>
  <w:p w:rsidR="007E4375" w:rsidRDefault="007E437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8348E"/>
    <w:rsid w:val="000646F6"/>
    <w:rsid w:val="00065442"/>
    <w:rsid w:val="000D0A6D"/>
    <w:rsid w:val="001035A8"/>
    <w:rsid w:val="00166D23"/>
    <w:rsid w:val="001B13AD"/>
    <w:rsid w:val="001F0ED7"/>
    <w:rsid w:val="00213F9A"/>
    <w:rsid w:val="00241E48"/>
    <w:rsid w:val="00266243"/>
    <w:rsid w:val="00270A4B"/>
    <w:rsid w:val="0028348E"/>
    <w:rsid w:val="002930DE"/>
    <w:rsid w:val="002D6F88"/>
    <w:rsid w:val="00301C5F"/>
    <w:rsid w:val="003256FD"/>
    <w:rsid w:val="003873DD"/>
    <w:rsid w:val="003A7C57"/>
    <w:rsid w:val="003E376D"/>
    <w:rsid w:val="003F3B85"/>
    <w:rsid w:val="00416850"/>
    <w:rsid w:val="004440F7"/>
    <w:rsid w:val="00463EB0"/>
    <w:rsid w:val="00470E63"/>
    <w:rsid w:val="00522AEA"/>
    <w:rsid w:val="0057686D"/>
    <w:rsid w:val="005B45C2"/>
    <w:rsid w:val="006049DC"/>
    <w:rsid w:val="00604C40"/>
    <w:rsid w:val="006909C5"/>
    <w:rsid w:val="006E3241"/>
    <w:rsid w:val="006E7DAC"/>
    <w:rsid w:val="00760AEE"/>
    <w:rsid w:val="007907DB"/>
    <w:rsid w:val="007E4375"/>
    <w:rsid w:val="00810874"/>
    <w:rsid w:val="00840E22"/>
    <w:rsid w:val="008C61DD"/>
    <w:rsid w:val="00930E49"/>
    <w:rsid w:val="00994E35"/>
    <w:rsid w:val="009E2D24"/>
    <w:rsid w:val="009E73E8"/>
    <w:rsid w:val="009E7A5A"/>
    <w:rsid w:val="00A538E2"/>
    <w:rsid w:val="00B97ED8"/>
    <w:rsid w:val="00BD3DE3"/>
    <w:rsid w:val="00BE7E86"/>
    <w:rsid w:val="00C91200"/>
    <w:rsid w:val="00C958C4"/>
    <w:rsid w:val="00CC6611"/>
    <w:rsid w:val="00CF65FB"/>
    <w:rsid w:val="00CF6D84"/>
    <w:rsid w:val="00D237D7"/>
    <w:rsid w:val="00D30E05"/>
    <w:rsid w:val="00D520CB"/>
    <w:rsid w:val="00DD5CDA"/>
    <w:rsid w:val="00E25FF5"/>
    <w:rsid w:val="00E50B43"/>
    <w:rsid w:val="00E73DC1"/>
    <w:rsid w:val="00EC73A2"/>
    <w:rsid w:val="00ED59EA"/>
    <w:rsid w:val="00F631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375"/>
  </w:style>
  <w:style w:type="paragraph" w:styleId="Footer">
    <w:name w:val="footer"/>
    <w:basedOn w:val="Normal"/>
    <w:link w:val="FooterChar"/>
    <w:uiPriority w:val="99"/>
    <w:semiHidden/>
    <w:unhideWhenUsed/>
    <w:rsid w:val="007E43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375"/>
  </w:style>
  <w:style w:type="paragraph" w:styleId="BalloonText">
    <w:name w:val="Balloon Text"/>
    <w:basedOn w:val="Normal"/>
    <w:link w:val="BalloonTextChar"/>
    <w:uiPriority w:val="99"/>
    <w:semiHidden/>
    <w:unhideWhenUsed/>
    <w:rsid w:val="007E43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375"/>
    <w:rPr>
      <w:rFonts w:ascii="Tahoma" w:hAnsi="Tahoma" w:cs="Tahoma"/>
      <w:sz w:val="16"/>
      <w:szCs w:val="16"/>
    </w:rPr>
  </w:style>
  <w:style w:type="paragraph" w:styleId="Bibliography">
    <w:name w:val="Bibliography"/>
    <w:basedOn w:val="Normal"/>
    <w:next w:val="Normal"/>
    <w:uiPriority w:val="37"/>
    <w:unhideWhenUsed/>
    <w:rsid w:val="00CC66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Tur08</b:Tag>
    <b:SourceType>JournalArticle</b:SourceType>
    <b:Guid>{63544C2D-E116-42F8-9E01-A94CF33343ED}</b:Guid>
    <b:LCID>0</b:LCID>
    <b:Author>
      <b:Author>
        <b:NameList>
          <b:Person>
            <b:Last>Turino</b:Last>
            <b:First>T.</b:First>
          </b:Person>
        </b:NameList>
      </b:Author>
    </b:Author>
    <b:Title>Nationalism and Latin American Music </b:Title>
    <b:JournalName>ProjectMuse</b:JournalName>
    <b:Year>2008</b:Year>
    <b:Pages>169-209</b:Pages>
    <b:RefOrder>1</b:RefOrder>
  </b:Source>
  <b:Source>
    <b:Tag>Tay14</b:Tag>
    <b:SourceType>JournalArticle</b:SourceType>
    <b:Guid>{57CCDD45-2E32-450E-AEBC-2F4472FD9421}</b:Guid>
    <b:LCID>0</b:LCID>
    <b:Author>
      <b:Author>
        <b:NameList>
          <b:Person>
            <b:Last>Taylor</b:Last>
            <b:First>K.</b:First>
          </b:Person>
        </b:NameList>
      </b:Author>
    </b:Author>
    <b:Title>Tango: Theme of Class and Nation</b:Title>
    <b:JournalName>Ethnomusicology</b:JournalName>
    <b:Year>2014</b:Year>
    <b:Pages>481-493</b:Pages>
    <b:RefOrder>4</b:RefOrder>
  </b:Source>
  <b:Source>
    <b:Tag>Wil11</b:Tag>
    <b:SourceType>JournalArticle</b:SourceType>
    <b:Guid>{017085C1-99C5-41AA-8FB7-D53A0E7D4755}</b:Guid>
    <b:LCID>0</b:LCID>
    <b:Author>
      <b:Author>
        <b:NameList>
          <b:Person>
            <b:Last>Williams</b:Last>
            <b:First>D.</b:First>
          </b:Person>
        </b:NameList>
      </b:Author>
    </b:Author>
    <b:Title>Cultural wars in Brazil: the first Vargas regime 1930-1945</b:Title>
    <b:JournalName>Durham</b:JournalName>
    <b:Year>2011</b:Year>
    <b:Pages>93-98</b:Pages>
    <b:RefOrder>5</b:RefOrder>
  </b:Source>
  <b:Source>
    <b:Tag>Ald09</b:Tag>
    <b:SourceType>JournalArticle</b:SourceType>
    <b:Guid>{79149AFA-5EFF-474E-BD52-C1FBCB3D1340}</b:Guid>
    <b:LCID>0</b:LCID>
    <b:Author>
      <b:Author>
        <b:NameList>
          <b:Person>
            <b:Last>Aldo</b:Last>
            <b:First>C.</b:First>
          </b:Person>
        </b:NameList>
      </b:Author>
    </b:Author>
    <b:Title>'Argentina' politics of Latin america- The Power game</b:Title>
    <b:JournalName>Cultural Anthropology</b:JournalName>
    <b:Year>2009</b:Year>
    <b:Pages>7-18</b:Pages>
    <b:RefOrder>2</b:RefOrder>
  </b:Source>
  <b:Source>
    <b:Tag>Vil10</b:Tag>
    <b:SourceType>JournalArticle</b:SourceType>
    <b:Guid>{735796DD-16F6-42DB-98C7-4721C51D18DA}</b:Guid>
    <b:LCID>0</b:LCID>
    <b:Author>
      <b:Author>
        <b:NameList>
          <b:Person>
            <b:Last>Viladrich</b:Last>
            <b:First>A.</b:First>
          </b:Person>
        </b:NameList>
      </b:Author>
    </b:Author>
    <b:Title>Neither Virgins nor Whores: Tango lyrics and gender representations</b:Title>
    <b:JournalName>The Journal of Popular culture</b:JournalName>
    <b:Year>2010</b:Year>
    <b:Pages>272-293</b:Pages>
    <b:RefOrder>3</b:RefOrder>
  </b:Source>
</b:Sources>
</file>

<file path=customXml/itemProps1.xml><?xml version="1.0" encoding="utf-8"?>
<ds:datastoreItem xmlns:ds="http://schemas.openxmlformats.org/officeDocument/2006/customXml" ds:itemID="{4E0A78BF-8486-4CBE-AF83-C3E89263D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2061</Words>
  <Characters>11751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2019-02-14T17:43:00Z</dcterms:created>
  <dcterms:modified xsi:type="dcterms:W3CDTF">2019-02-14T17:43:00Z</dcterms:modified>
</cp:coreProperties>
</file>